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DJEČJI VRTIĆ ŽIREK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10410 Velik Gorica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Kralja Stjepana Tomaševića 17c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MB  02743523;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OIB  45148667909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Broj RKP 46542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Djelatnost: 8510 Predškolsko obrazovanje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Razina: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Razdjel:  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Šifra grada: 541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BILJEŠKE UZ FINANCIJSKE IZVJEŠTAJE za 2021. godinu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Dječji vrtić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ŽIREK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kao pravni subjekt posluje od 01.04.2011. godine, a poslovanje bazira na Zakonu o lokalnoj i područnoj (regionalnoj) samoupravi  (NN 98/2019 i NN 144/2020.),  Odluci o izvršavanju proračuna JLPRSa, Pravilniku o proračunskom računovodstvu i računskom planu i Pravilniku o financijskom izvještavanju u proračunskom računovodstvu.</w:t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Bilješke uz BILANCU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001 IMOVINA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 Ukupna imovina se smanjila za 1,6% ili  138.</w:t>
      </w:r>
      <w:r w:rsidDel="00000000" w:rsidR="00000000" w:rsidRPr="00000000">
        <w:rPr>
          <w:sz w:val="28"/>
          <w:szCs w:val="28"/>
          <w:rtl w:val="0"/>
        </w:rPr>
        <w:t xml:space="preserve">897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,00 kn zbog smanjenja nefinancijske imovine, jer je novonabavljena nefinancijska imovina u tijeku godine znatno manja od ispravka vrijednosti nefinancijske imovine.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002  NEFINANCIJSKA IMOVINA: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Neto  vrijednost nefinancijske imovine se  također smanjila u odnosu na prošlogodišnje stanje što znači da je  novonabavljena imovina  u tijeku godine znatno manja od ispravka vrijednosti već korištene imovine, a radi se o stanju ukupne imovine u iznosu od 7.2</w:t>
      </w:r>
      <w:r w:rsidDel="00000000" w:rsidR="00000000" w:rsidRPr="00000000">
        <w:rPr>
          <w:sz w:val="28"/>
          <w:szCs w:val="28"/>
          <w:rtl w:val="0"/>
        </w:rPr>
        <w:t xml:space="preserve">79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242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,00 kn. </w:t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 vrijednosti imovine prevladavaju građevinski objekti i oprema za obavljanje osnovne djelatnosti, te sitni inventar koji otpisujemo u cijelosti prilikom stavljanja u upotrebu.</w:t>
      </w:r>
    </w:p>
    <w:p w:rsidR="00000000" w:rsidDel="00000000" w:rsidP="00000000" w:rsidRDefault="00000000" w:rsidRPr="00000000" w14:paraId="0000001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063 FINANCIJSKA IMOVINA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je s datumom bilance ostvarena u iznosu od 1.5</w:t>
      </w:r>
      <w:r w:rsidDel="00000000" w:rsidR="00000000" w:rsidRPr="00000000">
        <w:rPr>
          <w:sz w:val="28"/>
          <w:szCs w:val="28"/>
          <w:rtl w:val="0"/>
        </w:rPr>
        <w:t xml:space="preserve">11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175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,00 kn, a u odnosu na prošlogodišnje stanje iste je znatno veće čak za </w:t>
      </w:r>
      <w:r w:rsidDel="00000000" w:rsidR="00000000" w:rsidRPr="00000000">
        <w:rPr>
          <w:sz w:val="28"/>
          <w:szCs w:val="28"/>
          <w:rtl w:val="0"/>
        </w:rPr>
        <w:t xml:space="preserve">27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,9%.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1</w:t>
      </w:r>
      <w:r w:rsidDel="00000000" w:rsidR="00000000" w:rsidRPr="00000000">
        <w:rPr>
          <w:b w:val="1"/>
          <w:sz w:val="28"/>
          <w:szCs w:val="28"/>
          <w:rtl w:val="0"/>
        </w:rPr>
        <w:t xml:space="preserve">70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stanje obveza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zadnjeg dana u promatranom razdoblju ostvareno je sa 1.82</w:t>
      </w: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9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82,00 kn  a odnosi se na obveze prema zaposlenima u iznosu od  1.259.816,00 kn, i  nedospjele obveze prema dobavljačima za materijalne rashode i usluge u iznosu od  493.742,00 kn, ostale tekuće obveze u iznosu od 39.</w:t>
      </w:r>
      <w:r w:rsidDel="00000000" w:rsidR="00000000" w:rsidRPr="00000000">
        <w:rPr>
          <w:sz w:val="28"/>
          <w:szCs w:val="28"/>
          <w:rtl w:val="0"/>
        </w:rPr>
        <w:t xml:space="preserve">049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,00 kn, a obveze za nabavku nefinancijske imovine u iznosu od 28.375,00 kn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Ukupni rezultat poslovanja iz djelatnosti kao razlika prihoda i primitaka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iz redovnog poslovanja ostvaren je u iznosu od 35.147,00 kn, dok je preneseni manjak prihoda od nefinancijske imovine u iznosu od 617.155,00 kn uvećan za 100.534,00 kn te ukupno iznosi  717.689,00 kn. Sveukupni manjak prihoda poslovanja za pokriće u </w:t>
      </w:r>
      <w:r w:rsidDel="00000000" w:rsidR="00000000" w:rsidRPr="00000000">
        <w:rPr>
          <w:sz w:val="28"/>
          <w:szCs w:val="28"/>
          <w:rtl w:val="0"/>
        </w:rPr>
        <w:t xml:space="preserve">sljedećem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razdoblju iz cjelokupnog poslovanja u tekućoj godini ostvaren je u iznosu od  713.279,00 kn.</w:t>
      </w:r>
    </w:p>
    <w:p w:rsidR="00000000" w:rsidDel="00000000" w:rsidP="00000000" w:rsidRDefault="00000000" w:rsidRPr="00000000" w14:paraId="0000001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Cjelokupno poslovanje vrtića financirano je iz sredstava za posebne namjene tj. sredstava za sufinanciranje usluga , općih prihoda i primitaka gradskog proračuna,  pomoći iz Državnog proračuna, te manjim dijelom iz  vlastitih izvora od najma prostora, donacija i šteta s naslova osiguranja nefinancijske imovine, pa zajmovi, krediti i pozajmice nisu korišteni.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Bilješke uz IZVJEŠTAJ O PRIHODIMA I RASHODIMA, PRIMICIMA I IZDAC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IMA</w:t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001 Prihodi poslovanja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ostvareni su u iznosu od 19.243.706,00 kn, što je za 10,9% više u odnosu na izvještajno razdoblje prethodne godine. Prihodi iz gradskog proračuna ostvareni su u iznosu od  15.304.078,00 kn, prihodi za sufinanciranje usluga ostvareni su sa 3.688.053,00 kn, prihodi od pomoći iz državnog proračuna tj. Ministarstva znanosti, obrazovanja i sporta ostvareni su  iznosu od 232.740,00 kn. Vlastiti prihodi od najma prostora iznosili su 4.575,00 kn, a od donacija drugih pravnih osoba 4.120,00 kn. Ostali prihodi za posebne namjene ostvareni su u iznosu od 4.181,00 kn, a odnose se na prihode s naslova osiguranja dugotrajne imovine i refundacija štete. </w:t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 bilješkama uz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001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nužno je napomenuti da su znatna odstupanja ostvarenih rezultata u odnosu na rezultate prethodne godine, zbog posebnih okolnosti uslijed proglašenja epidemije bolesti COVID-19 uzrokovane virusom SARS-COV-2 u prethodnoj 2020. godini. Prihodi poslovanja su veći za 10,9% ili 1.891.179,00 kn ali se promjene po vrstama prihoda znatno razlikuju. Naime, prihodi iz nadležnog proračuna za financiranje rashoda poslovanja su ostvareni u iznosu od 15.304.078,00 kn, a porasli su za 7,1% ili 1.015.647,00 kn zbog već spomenutih posebnih okolnosti i propisanog načina rada predškolskih ustanova od strane HZJZ-a. u prethodnoj godini. Zbog propisane obustave rada i prihvata djece u vrtić iznosi roditeljskih uplata su umanjeni po odluci osnivača za 50%  za ožujak i svibanja, a za travanj za 100% uz uvažavanje prisutnosti ili odsutnosti svakog djeteta.</w:t>
      </w:r>
    </w:p>
    <w:p w:rsidR="00000000" w:rsidDel="00000000" w:rsidP="00000000" w:rsidRDefault="00000000" w:rsidRPr="00000000" w14:paraId="0000001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 148 Rashodi poslovanja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ostvareni su u iznosu od 19.208.559,00 kn, u kojima prevladavaju rashodi za zaposlene u iznosu od 15.463.832,00 kn,  materijalni rashodi  s iznosom od  3.741.826,00 kn, te financijski rashodi s neznatnim iznosom od 2.901,00 kn, dok je za nabavku nefinancijske imovine utrošeno 100.534,00 kn.</w:t>
      </w:r>
    </w:p>
    <w:p w:rsidR="00000000" w:rsidDel="00000000" w:rsidP="00000000" w:rsidRDefault="00000000" w:rsidRPr="00000000" w14:paraId="00000021">
      <w:pPr>
        <w:tabs>
          <w:tab w:val="left" w:pos="3705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 283  Kao razlika prihoda i rashoda poslovanja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iz osnovne djelatnosti, a bez kapitalnih ulaganja nastao  je višak prihoda poslovanja u iznosu od  35.147,00 kn iz već navedenih razloga, a prije svega racionalnog gospodarenja proračunskim sredstvima. </w:t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399 Nedostatak prihoda od nefinancijske imovine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ostvaren je u iznosu od 100.534,00 kn, jer je u tom iznosu nabavljena nova oprema koja nam je neophodna za obavljanje osnovne djelatnosti, a prihode iz ove djelatnosti nemoguće je ostvariti, jer nema prodaje iste.  </w:t>
      </w:r>
    </w:p>
    <w:p w:rsidR="00000000" w:rsidDel="00000000" w:rsidP="00000000" w:rsidRDefault="00000000" w:rsidRPr="00000000" w14:paraId="0000002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288 manjak prihoda i primitaka  - preneseni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u izvještajnoj godini je isti kao AOP 286 prethodne godine.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636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Kako je za nabavku nefinancijske imovine tijekom godine utrošeno 100.534,00 kn,  a prihodi su izostali kod te aktivnosti ostvaren je manjak od 100.534,00 kn, što sa prenesenim rezultatom iz prethodnih godina čini ukupni nedostatak sredstava za kapitalna ulaganja u iznosu od  713.279,00 kn. </w:t>
      </w:r>
    </w:p>
    <w:p w:rsidR="00000000" w:rsidDel="00000000" w:rsidP="00000000" w:rsidRDefault="00000000" w:rsidRPr="00000000" w14:paraId="0000002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 tekućoj godini manjak prihoda iz kapitalnih ulaganja smanjen je za iznos viška  prihoda iz djelatnosti za 35.147,00 kn, pa manjak prihoda i primitaka za pokriće u </w:t>
      </w:r>
      <w:r w:rsidDel="00000000" w:rsidR="00000000" w:rsidRPr="00000000">
        <w:rPr>
          <w:sz w:val="28"/>
          <w:szCs w:val="28"/>
          <w:rtl w:val="0"/>
        </w:rPr>
        <w:t xml:space="preserve">sljedećem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razdoblju iznosi 713.279,00 kn.    </w:t>
      </w:r>
    </w:p>
    <w:p w:rsidR="00000000" w:rsidDel="00000000" w:rsidP="00000000" w:rsidRDefault="00000000" w:rsidRPr="00000000" w14:paraId="0000002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Višegodišnja kapitalna ulaganja znatno su podigla kvalitetu  obavljanja osnovne  djelatnosti u radu s djecom i utjecala čak i na proširenje smještajnih kapaciteta, a naročito izgradnja i stavljanje u upotrebu novog objekta u Svačićevoj ulici broj 12.  </w:t>
      </w:r>
    </w:p>
    <w:p w:rsidR="00000000" w:rsidDel="00000000" w:rsidP="00000000" w:rsidRDefault="00000000" w:rsidRPr="00000000" w14:paraId="0000002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Dakle, obavljanjem svih aktivnosti u tijeku godine ostvaren je nedostatak sredstava u iznosu od  713.279,00 kn.</w:t>
      </w:r>
    </w:p>
    <w:p w:rsidR="00000000" w:rsidDel="00000000" w:rsidP="00000000" w:rsidRDefault="00000000" w:rsidRPr="00000000" w14:paraId="0000002D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Bilješke uz IZVJEŠTAJ O PROMJENI U VRIJEDNOSTI I OBUJMU IMOVINE I OBVEZA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Revalorizacija imovine nije rađena, jer se smatralo da njena knjigovodstvena vrijednost odgovara tržišnoj, a promjene obujma imovine u vidu njenog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smanjenja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su uslijedile zbog otpisa potraživanja za nenaplaćene prihode poslovanja u iznosu od 3.493,00 kn. Razlog otpisa potraživanja je njihova starost veća od tri godine, te odrađeni svi vidovi naplate koji nisu dali rezultate pa ni utuženja, a ni individualni stečaj korisnika naših usluga. Inventurna komisija za 2021. godinu zaključila je da se navedena potraživanja isknjiže iz analitičkih evidencija i glavne knjige i otpišu u navedenom iznosu, a u slučaju naplate u budućim razdobljima ista će se u naplaćenom iznosu prihodovati.</w:t>
      </w:r>
    </w:p>
    <w:p w:rsidR="00000000" w:rsidDel="00000000" w:rsidP="00000000" w:rsidRDefault="00000000" w:rsidRPr="00000000" w14:paraId="00000030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Smanjenja obujma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nefinancijske dugotrajne imovine  s 31.12.2021. godine nije bilo, jer je rashodovana imovina koja nije imala sadašnju vrijednost ali se koristila jer je i nakon redovnog ispravka zadržala uporabnu vrijednost.</w:t>
      </w:r>
    </w:p>
    <w:p w:rsidR="00000000" w:rsidDel="00000000" w:rsidP="00000000" w:rsidRDefault="00000000" w:rsidRPr="00000000" w14:paraId="0000003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Navedena sredstva su likvidirana i isknjižena u glavnoj knjizi,  te materijalnim evidencijama kao i s popisnih lista.</w:t>
      </w:r>
    </w:p>
    <w:p w:rsidR="00000000" w:rsidDel="00000000" w:rsidP="00000000" w:rsidRDefault="00000000" w:rsidRPr="00000000" w14:paraId="0000003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Sve navedeno utjecalo je na promjene u vrijednosti i obujmu imovine u ukupnom iznosu od 3.493,00 kn.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Bilješke uz IZVJEŠTAJ O OBVEZAMA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AOP 001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U tijeku analiziranog razdoblja od 01. siječnja  do 31. prosinca 2021. godine podmirene su nedospjele obveze iz prethodne godine u iznosu od 1.546.715,00 kn, kao i tekuće  dospjele obveze  u iznosu od 17.827.222,00 kn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(dio AOP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002)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što daje iznos podmirenih obveza u izvještajnom razdoblju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(AOP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020).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Nakon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podmirenih i prenesenih obveza , te podmirenih obveza izvještajnog razdoblja rezultirao je saldo nepodmirenih obveza na kraju izvještajnog razdoblja  u iznosu od 1.820.982,00 kn,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(AOP 038),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a bez obveza iz skupine računa 29 kako to traži obrazac. </w:t>
      </w:r>
    </w:p>
    <w:p w:rsidR="00000000" w:rsidDel="00000000" w:rsidP="00000000" w:rsidRDefault="00000000" w:rsidRPr="00000000" w14:paraId="0000003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Dakle, stanje nedospjelih obveza na kraju izvještajnog razdoblja iznosi 1.710.680,00 kn,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(AOP 097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) a sastoji se od obveza za rashode poslovanja u iznosu od 450.864,00 kn, te obveza za zaposlene u iznosu od 1.259.816,00 kn koje se odnose na obračunatu plaću za mjesec prosinac koja se isplaćuje u mjesecu siječnju 2022. godine, te obveze za nabavu nefinancijske imovine u iznosu od  28.375,00 kn.</w:t>
      </w:r>
    </w:p>
    <w:p w:rsidR="00000000" w:rsidDel="00000000" w:rsidP="00000000" w:rsidRDefault="00000000" w:rsidRPr="00000000" w14:paraId="0000003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Velikoj Gorici, 31.01.2022.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Voditelj računovodstva: Milka  Beč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Zadanifontodlomka">
    <w:name w:val="Zadani font odlomka"/>
    <w:next w:val="Zadanifontodlomk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balončića">
    <w:name w:val="Tekst balončića"/>
    <w:basedOn w:val="Normal"/>
    <w:next w:val="Tekstbalončić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t+ayvUJZkZEwDb7l1nz9K5HZg==">AMUW2mUxVNoJSlIqOK50ckA1ZJiO1r0dCbpP4I0jCOGhlhi1qZtBxQVVSQQm4mUZRsvcGtq3eTdNGnSBNpZBPG66GijAZdqZV/Nza7uKoKp+pnWu6poqZbo=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2022-01-31T12:16:00Z</dcterms:created>
  <dc:creator>Ana</dc:creator>
</cp:coreProperties>
</file>